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DA" w:rsidRDefault="00AA70FC" w:rsidP="00CB386C">
      <w:pPr>
        <w:pStyle w:val="a0"/>
        <w:tabs>
          <w:tab w:val="left" w:pos="4185"/>
        </w:tabs>
        <w:ind w:hanging="12"/>
        <w:jc w:val="left"/>
      </w:pPr>
      <w:bookmarkStart w:id="0" w:name="_Toc507849900"/>
      <w:bookmarkStart w:id="1" w:name="_GoBack"/>
      <w:bookmarkEnd w:id="1"/>
      <w:r w:rsidRPr="008D6590">
        <w:rPr>
          <w:noProof/>
          <w:rtl/>
          <w:lang w:bidi="ar-SA"/>
        </w:rPr>
        <w:drawing>
          <wp:anchor distT="0" distB="0" distL="114300" distR="114300" simplePos="0" relativeHeight="251657216" behindDoc="1" locked="0" layoutInCell="1" allowOverlap="1" wp14:anchorId="54FD166B" wp14:editId="0C51E79B">
            <wp:simplePos x="0" y="0"/>
            <wp:positionH relativeFrom="column">
              <wp:posOffset>2268855</wp:posOffset>
            </wp:positionH>
            <wp:positionV relativeFrom="paragraph">
              <wp:posOffset>169545</wp:posOffset>
            </wp:positionV>
            <wp:extent cx="1598491" cy="1466850"/>
            <wp:effectExtent l="0" t="0" r="1905" b="0"/>
            <wp:wrapNone/>
            <wp:docPr id="8" name="Picture 8" descr="C:\Users\h.shokri\Dropbox\خدمات توانمندسازی\مرک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shokri\Dropbox\خدمات توانمندسازی\مرک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91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82A">
        <w:rPr>
          <w:rtl/>
        </w:rPr>
        <w:tab/>
      </w:r>
    </w:p>
    <w:p w:rsidR="00715CDA" w:rsidRDefault="00C106D5">
      <w:pPr>
        <w:pStyle w:val="a0"/>
        <w:ind w:firstLine="95"/>
        <w:rPr>
          <w:rtl/>
        </w:rPr>
      </w:pPr>
      <w:r>
        <w:rPr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17.25pt;margin-top:15.6pt;width:428.25pt;height:512.9pt;z-index:2;visibility:visible;mso-wrap-distance-left:0;mso-wrap-distance-right:0;mso-position-horizontal-relative:margin" filled="f" stroked="f" strokeweight=".5pt">
            <v:path arrowok="t"/>
            <v:textbox style="mso-next-textbox:#1027">
              <w:txbxContent>
                <w:p w:rsidR="00715CDA" w:rsidRPr="00CB386C" w:rsidRDefault="00715CDA">
                  <w:pPr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lang w:bidi="fa-IR"/>
                    </w:rPr>
                  </w:pPr>
                </w:p>
                <w:p w:rsidR="00CB386C" w:rsidRDefault="00CB386C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</w:pPr>
                </w:p>
                <w:p w:rsidR="00CB386C" w:rsidRPr="00CB386C" w:rsidRDefault="00FC782A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</w:pPr>
                  <w:r w:rsidRPr="00CB386C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شیوه نامه</w:t>
                  </w:r>
                  <w:r w:rsidRPr="00CB386C"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  <w:t>‌</w:t>
                  </w:r>
                  <w:r w:rsidRPr="00CB386C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 xml:space="preserve"> </w:t>
                  </w:r>
                  <w:r w:rsidRPr="00CB386C"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  <w:t>حما</w:t>
                  </w:r>
                  <w:r w:rsidRPr="00CB386C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ی</w:t>
                  </w:r>
                  <w:r w:rsidRPr="00CB386C">
                    <w:rPr>
                      <w:rFonts w:ascii="IranNastaliq" w:hAnsi="IranNastaliq" w:cs="IranNastaliq" w:hint="eastAsia"/>
                      <w:sz w:val="44"/>
                      <w:szCs w:val="44"/>
                      <w:rtl/>
                      <w:lang w:bidi="fa-IR"/>
                    </w:rPr>
                    <w:t>ت</w:t>
                  </w:r>
                  <w:r w:rsidRPr="00CB386C"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  <w:t xml:space="preserve"> از</w:t>
                  </w:r>
                </w:p>
                <w:p w:rsidR="00715CDA" w:rsidRPr="00CB386C" w:rsidRDefault="00FC782A">
                  <w:pPr>
                    <w:jc w:val="center"/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</w:pPr>
                  <w:r w:rsidRPr="00CB386C"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  <w:t xml:space="preserve"> تدو</w:t>
                  </w:r>
                  <w:r w:rsidRPr="00CB386C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ی</w:t>
                  </w:r>
                  <w:r w:rsidRPr="00CB386C">
                    <w:rPr>
                      <w:rFonts w:ascii="IranNastaliq" w:hAnsi="IranNastaliq" w:cs="IranNastaliq" w:hint="eastAsia"/>
                      <w:sz w:val="60"/>
                      <w:szCs w:val="60"/>
                      <w:rtl/>
                      <w:lang w:bidi="fa-IR"/>
                    </w:rPr>
                    <w:t>ن</w:t>
                  </w:r>
                  <w:r w:rsidRPr="00CB386C"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  <w:t xml:space="preserve"> گزارش تحق</w:t>
                  </w:r>
                  <w:r w:rsidRPr="00CB386C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ی</w:t>
                  </w:r>
                  <w:r w:rsidRPr="00CB386C">
                    <w:rPr>
                      <w:rFonts w:ascii="IranNastaliq" w:hAnsi="IranNastaliq" w:cs="IranNastaliq" w:hint="eastAsia"/>
                      <w:sz w:val="60"/>
                      <w:szCs w:val="60"/>
                      <w:rtl/>
                      <w:lang w:bidi="fa-IR"/>
                    </w:rPr>
                    <w:t>قات</w:t>
                  </w:r>
                  <w:r w:rsidRPr="00CB386C"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  <w:t xml:space="preserve"> بازار</w:t>
                  </w:r>
                  <w:r w:rsidR="005371E7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 xml:space="preserve"> شرکت‌های دانش‌بنیان، خلاق و فناور مستقر در پارک</w:t>
                  </w:r>
                </w:p>
                <w:p w:rsidR="00CB386C" w:rsidRDefault="00CB386C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</w:pPr>
                </w:p>
                <w:p w:rsidR="00715CDA" w:rsidRPr="00CB386C" w:rsidRDefault="00FC782A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</w:pPr>
                  <w:r w:rsidRPr="00CB386C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مرکز شرکت</w:t>
                  </w:r>
                  <w:r w:rsidR="00412CD7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‌ها</w:t>
                  </w:r>
                  <w:r w:rsidRPr="00CB386C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 xml:space="preserve"> و مؤسسات دانش بنیان</w:t>
                  </w:r>
                </w:p>
                <w:p w:rsidR="00715CDA" w:rsidRPr="00CB386C" w:rsidRDefault="00AA70FC" w:rsidP="007853BE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 xml:space="preserve">سال </w:t>
                  </w:r>
                  <w:r w:rsidR="007853BE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1401</w:t>
                  </w:r>
                </w:p>
                <w:p w:rsidR="00715CDA" w:rsidRDefault="00715CDA">
                  <w:pPr>
                    <w:jc w:val="center"/>
                    <w:rPr>
                      <w:rFonts w:ascii="IranNastaliq" w:hAnsi="IranNastaliq" w:cs="IranNastaliq"/>
                      <w:sz w:val="100"/>
                      <w:szCs w:val="100"/>
                      <w:rtl/>
                      <w:lang w:bidi="fa-IR"/>
                    </w:rPr>
                  </w:pPr>
                </w:p>
              </w:txbxContent>
            </v:textbox>
            <w10:wrap anchorx="margin"/>
          </v:shape>
        </w:pict>
      </w:r>
    </w:p>
    <w:p w:rsidR="00715CDA" w:rsidRDefault="00715CDA">
      <w:pPr>
        <w:pStyle w:val="a0"/>
        <w:ind w:firstLine="95"/>
        <w:rPr>
          <w:rtl/>
        </w:rPr>
      </w:pPr>
    </w:p>
    <w:p w:rsidR="00715CDA" w:rsidRDefault="00715CDA">
      <w:pPr>
        <w:pStyle w:val="a0"/>
        <w:ind w:firstLine="95"/>
        <w:rPr>
          <w:sz w:val="40"/>
          <w:szCs w:val="40"/>
          <w:rtl/>
        </w:rPr>
      </w:pPr>
    </w:p>
    <w:p w:rsidR="00715CDA" w:rsidRDefault="00715CDA">
      <w:pPr>
        <w:pStyle w:val="a0"/>
        <w:ind w:firstLine="95"/>
        <w:rPr>
          <w:sz w:val="40"/>
          <w:szCs w:val="40"/>
          <w:rtl/>
        </w:rPr>
      </w:pPr>
    </w:p>
    <w:p w:rsidR="00715CDA" w:rsidRDefault="00715CDA">
      <w:pPr>
        <w:pStyle w:val="a0"/>
        <w:ind w:firstLine="95"/>
        <w:rPr>
          <w:sz w:val="40"/>
          <w:szCs w:val="40"/>
          <w:rtl/>
        </w:rPr>
      </w:pPr>
    </w:p>
    <w:p w:rsidR="00715CDA" w:rsidRDefault="00715CDA">
      <w:pPr>
        <w:pStyle w:val="a0"/>
        <w:ind w:firstLine="95"/>
        <w:rPr>
          <w:sz w:val="40"/>
          <w:szCs w:val="40"/>
        </w:rPr>
      </w:pPr>
    </w:p>
    <w:p w:rsidR="00715CDA" w:rsidRDefault="00715CDA">
      <w:pPr>
        <w:pStyle w:val="a0"/>
        <w:ind w:firstLine="95"/>
        <w:rPr>
          <w:sz w:val="56"/>
          <w:szCs w:val="56"/>
        </w:rPr>
      </w:pPr>
    </w:p>
    <w:p w:rsidR="00715CDA" w:rsidRDefault="00715CDA">
      <w:pPr>
        <w:pStyle w:val="a0"/>
        <w:ind w:firstLine="95"/>
        <w:rPr>
          <w:sz w:val="96"/>
          <w:szCs w:val="96"/>
          <w:rtl/>
        </w:rPr>
      </w:pPr>
    </w:p>
    <w:p w:rsidR="00715CDA" w:rsidRDefault="00715CDA"/>
    <w:bookmarkEnd w:id="0"/>
    <w:p w:rsidR="009B2A5B" w:rsidRDefault="009B2A5B">
      <w:pPr>
        <w:pStyle w:val="ListParagraph"/>
        <w:spacing w:before="240" w:after="240"/>
        <w:jc w:val="center"/>
        <w:rPr>
          <w:b/>
          <w:bCs/>
          <w:sz w:val="32"/>
          <w:szCs w:val="32"/>
          <w:rtl/>
        </w:rPr>
      </w:pPr>
    </w:p>
    <w:p w:rsidR="006C0CE3" w:rsidRDefault="006C0CE3">
      <w:pPr>
        <w:pStyle w:val="ListParagraph"/>
        <w:spacing w:before="240" w:after="240"/>
        <w:jc w:val="center"/>
        <w:rPr>
          <w:b/>
          <w:bCs/>
          <w:sz w:val="32"/>
          <w:szCs w:val="32"/>
          <w:rtl/>
        </w:rPr>
      </w:pPr>
    </w:p>
    <w:p w:rsidR="006C0CE3" w:rsidRDefault="006C0CE3">
      <w:pPr>
        <w:pStyle w:val="ListParagraph"/>
        <w:spacing w:before="240" w:after="240"/>
        <w:jc w:val="center"/>
        <w:rPr>
          <w:b/>
          <w:bCs/>
          <w:sz w:val="32"/>
          <w:szCs w:val="32"/>
          <w:rtl/>
        </w:rPr>
      </w:pPr>
    </w:p>
    <w:p w:rsidR="00715CDA" w:rsidRDefault="00412CD7" w:rsidP="00B45522">
      <w:pPr>
        <w:pStyle w:val="ListParagraph"/>
        <w:spacing w:before="240" w:after="240"/>
        <w:rPr>
          <w:b/>
          <w:bCs/>
          <w:sz w:val="28"/>
          <w:szCs w:val="28"/>
          <w:rtl/>
        </w:rPr>
      </w:pPr>
      <w:r w:rsidRPr="009D3FA6">
        <w:rPr>
          <w:rFonts w:hint="cs"/>
          <w:b/>
          <w:bCs/>
          <w:sz w:val="28"/>
          <w:szCs w:val="28"/>
          <w:rtl/>
        </w:rPr>
        <w:lastRenderedPageBreak/>
        <w:t>شیوه‌نامه</w:t>
      </w:r>
      <w:r w:rsidR="00FC782A" w:rsidRPr="009D3FA6">
        <w:rPr>
          <w:rFonts w:hint="cs"/>
          <w:b/>
          <w:bCs/>
          <w:sz w:val="28"/>
          <w:szCs w:val="28"/>
          <w:rtl/>
        </w:rPr>
        <w:t xml:space="preserve"> حمایت از تدوین گزارش تحقیقات بازار</w:t>
      </w:r>
      <w:r w:rsidR="009D3FA6" w:rsidRPr="009D3FA6">
        <w:rPr>
          <w:rFonts w:hint="cs"/>
          <w:b/>
          <w:bCs/>
          <w:sz w:val="28"/>
          <w:szCs w:val="28"/>
          <w:rtl/>
        </w:rPr>
        <w:t xml:space="preserve"> </w:t>
      </w:r>
      <w:r w:rsidR="00B45522" w:rsidRPr="00C874C1">
        <w:rPr>
          <w:rFonts w:hint="cs"/>
          <w:b/>
          <w:bCs/>
          <w:sz w:val="28"/>
          <w:szCs w:val="28"/>
          <w:rtl/>
          <w:lang w:bidi="fa-IR"/>
        </w:rPr>
        <w:t>شرکت‌های دانش‌بنیان</w:t>
      </w:r>
      <w:r w:rsidR="00B45522">
        <w:rPr>
          <w:rFonts w:hint="cs"/>
          <w:b/>
          <w:bCs/>
          <w:sz w:val="28"/>
          <w:szCs w:val="28"/>
          <w:rtl/>
          <w:lang w:bidi="fa-IR"/>
        </w:rPr>
        <w:t>، خلاق و شرکت های فناور مستقر در پارک های علم و فناوری</w:t>
      </w:r>
      <w:r w:rsidR="00B45522">
        <w:rPr>
          <w:rStyle w:val="FootnoteReference"/>
          <w:b/>
          <w:bCs/>
          <w:sz w:val="28"/>
          <w:szCs w:val="28"/>
          <w:rtl/>
          <w:lang w:bidi="fa-IR"/>
        </w:rPr>
        <w:footnoteReference w:id="1"/>
      </w:r>
    </w:p>
    <w:p w:rsidR="00B45522" w:rsidRPr="009D3FA6" w:rsidRDefault="00B45522" w:rsidP="00B45522">
      <w:pPr>
        <w:pStyle w:val="ListParagraph"/>
        <w:spacing w:before="240" w:after="240"/>
        <w:rPr>
          <w:b/>
          <w:bCs/>
          <w:sz w:val="28"/>
          <w:szCs w:val="28"/>
          <w:rtl/>
        </w:rPr>
      </w:pPr>
    </w:p>
    <w:p w:rsidR="00715CDA" w:rsidRPr="007B071B" w:rsidRDefault="00FC782A" w:rsidP="00CB386C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b/>
          <w:bCs/>
          <w:sz w:val="28"/>
          <w:szCs w:val="28"/>
          <w:rtl/>
        </w:rPr>
      </w:pPr>
      <w:r w:rsidRPr="007B071B">
        <w:rPr>
          <w:rFonts w:hint="cs"/>
          <w:b/>
          <w:bCs/>
          <w:sz w:val="28"/>
          <w:szCs w:val="28"/>
          <w:rtl/>
        </w:rPr>
        <w:t>مقدمه</w:t>
      </w:r>
    </w:p>
    <w:p w:rsidR="00715CDA" w:rsidRPr="007B071B" w:rsidRDefault="00FC782A" w:rsidP="00F97DEB">
      <w:pPr>
        <w:spacing w:after="240" w:line="276" w:lineRule="auto"/>
        <w:jc w:val="both"/>
        <w:rPr>
          <w:sz w:val="28"/>
          <w:rtl/>
        </w:rPr>
      </w:pPr>
      <w:r w:rsidRPr="007B071B">
        <w:rPr>
          <w:rFonts w:hint="cs"/>
          <w:sz w:val="28"/>
          <w:rtl/>
        </w:rPr>
        <w:t>تدوین استراتژی مناسب جهت ورود به بازار از طریق بخش‌بندی، شناسایی مخاطبان و مصرف‌کنندگان محصول، تحلیل رقبا، تخمین صحیح از میزان کشش بازار و سهم قابل کسب از آن و سایر پارامترهای تاثیرگذار در این زمینه از جمله مهمترین الزامات پیش از ورود به هر بازار جدید می‌باشد. در همین راستا معاونت علمی و فناوری ریاست جمهوری با هدف توسعه بازار محصولات دانش‌بنیان</w:t>
      </w:r>
      <w:r w:rsidR="00B45522">
        <w:rPr>
          <w:rFonts w:hint="cs"/>
          <w:sz w:val="28"/>
          <w:rtl/>
        </w:rPr>
        <w:t xml:space="preserve"> و خلاق</w:t>
      </w:r>
      <w:r w:rsidRPr="007B071B">
        <w:rPr>
          <w:rFonts w:hint="cs"/>
          <w:sz w:val="28"/>
          <w:rtl/>
        </w:rPr>
        <w:t>، از تهیه گزارش‌های تخصصی تحقیقات بازار و تأمین بخشی از هزینه‌های مربوط به آن حمایت می‌نماید.</w:t>
      </w:r>
    </w:p>
    <w:p w:rsidR="00715CDA" w:rsidRPr="007B071B" w:rsidRDefault="00F97DEB" w:rsidP="00907E46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خدمات مشمول این </w:t>
      </w:r>
      <w:r w:rsidR="00412CD7">
        <w:rPr>
          <w:rFonts w:hint="cs"/>
          <w:b/>
          <w:bCs/>
          <w:sz w:val="28"/>
          <w:szCs w:val="28"/>
          <w:rtl/>
        </w:rPr>
        <w:t>‌شیوه‌نامه</w:t>
      </w:r>
    </w:p>
    <w:p w:rsidR="00715CDA" w:rsidRPr="007B071B" w:rsidRDefault="00FC782A" w:rsidP="009D3FA6">
      <w:pPr>
        <w:spacing w:after="240" w:line="276" w:lineRule="auto"/>
        <w:jc w:val="both"/>
        <w:rPr>
          <w:sz w:val="28"/>
          <w:rtl/>
        </w:rPr>
      </w:pPr>
      <w:r w:rsidRPr="007B071B">
        <w:rPr>
          <w:rFonts w:hint="cs"/>
          <w:sz w:val="28"/>
          <w:rtl/>
        </w:rPr>
        <w:t xml:space="preserve">با هدف سهولت در دسترسی، بهینه بودن زمان و جلوگیری از تحمیل هزینه‌های بالا به شرکت‌های </w:t>
      </w:r>
      <w:r w:rsidR="009D3FA6">
        <w:rPr>
          <w:rFonts w:hint="cs"/>
          <w:sz w:val="28"/>
          <w:rtl/>
        </w:rPr>
        <w:t xml:space="preserve">مورد حمایت </w:t>
      </w:r>
      <w:r w:rsidRPr="007B071B">
        <w:rPr>
          <w:rFonts w:hint="cs"/>
          <w:sz w:val="28"/>
          <w:rtl/>
        </w:rPr>
        <w:t>گزارش</w:t>
      </w:r>
      <w:r w:rsidR="00412CD7">
        <w:rPr>
          <w:rFonts w:hint="cs"/>
          <w:sz w:val="28"/>
          <w:rtl/>
        </w:rPr>
        <w:t>‌ها</w:t>
      </w:r>
      <w:r w:rsidRPr="007B071B">
        <w:rPr>
          <w:rFonts w:hint="cs"/>
          <w:sz w:val="28"/>
          <w:rtl/>
        </w:rPr>
        <w:t xml:space="preserve">ی تحقیقات بازار در 2 دسته کلی تقسیم‌بندی می‌گردد: </w:t>
      </w:r>
    </w:p>
    <w:p w:rsidR="00715CDA" w:rsidRPr="007B071B" w:rsidRDefault="00FC782A" w:rsidP="00907E46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sz w:val="28"/>
          <w:szCs w:val="28"/>
          <w:rtl/>
        </w:rPr>
      </w:pPr>
      <w:r w:rsidRPr="007B071B">
        <w:rPr>
          <w:rFonts w:hint="cs"/>
          <w:sz w:val="28"/>
          <w:szCs w:val="28"/>
          <w:u w:val="single"/>
          <w:rtl/>
        </w:rPr>
        <w:t>گزارش</w:t>
      </w:r>
      <w:r w:rsidR="009D3FA6">
        <w:rPr>
          <w:rFonts w:hint="cs"/>
          <w:sz w:val="28"/>
          <w:szCs w:val="28"/>
          <w:u w:val="single"/>
          <w:rtl/>
        </w:rPr>
        <w:t>‌</w:t>
      </w:r>
      <w:r w:rsidRPr="007B071B">
        <w:rPr>
          <w:rFonts w:hint="cs"/>
          <w:sz w:val="28"/>
          <w:szCs w:val="28"/>
          <w:u w:val="single"/>
          <w:rtl/>
        </w:rPr>
        <w:t>های مطالعه فرصت</w:t>
      </w:r>
      <w:r w:rsidRPr="007B071B">
        <w:rPr>
          <w:rFonts w:hint="cs"/>
          <w:sz w:val="28"/>
          <w:szCs w:val="28"/>
          <w:rtl/>
        </w:rPr>
        <w:t>: هدف اصلی از تهیه چنین گزارش</w:t>
      </w:r>
      <w:r w:rsidR="00412CD7">
        <w:rPr>
          <w:rFonts w:hint="cs"/>
          <w:sz w:val="28"/>
          <w:szCs w:val="28"/>
          <w:rtl/>
        </w:rPr>
        <w:t>‌ها</w:t>
      </w:r>
      <w:r w:rsidRPr="007B071B">
        <w:rPr>
          <w:rFonts w:hint="cs"/>
          <w:sz w:val="28"/>
          <w:szCs w:val="28"/>
          <w:rtl/>
        </w:rPr>
        <w:t>ی، شناسایی فضای کلی کسب و کار یک محصول و بررسی فرصت‌های موجود برای ورود محصول جدید به بازار پیش از تولید آن می‌باشد. ب</w:t>
      </w:r>
      <w:r w:rsidR="009D3FA6">
        <w:rPr>
          <w:rFonts w:hint="cs"/>
          <w:sz w:val="28"/>
          <w:szCs w:val="28"/>
          <w:rtl/>
        </w:rPr>
        <w:t xml:space="preserve">ه </w:t>
      </w:r>
      <w:r w:rsidRPr="007B071B">
        <w:rPr>
          <w:rFonts w:hint="cs"/>
          <w:sz w:val="28"/>
          <w:szCs w:val="28"/>
          <w:rtl/>
        </w:rPr>
        <w:t>طور کلی در این نوع از گزارش</w:t>
      </w:r>
      <w:r w:rsidR="00412CD7">
        <w:rPr>
          <w:rFonts w:hint="cs"/>
          <w:sz w:val="28"/>
          <w:szCs w:val="28"/>
          <w:rtl/>
        </w:rPr>
        <w:t>‌ها</w:t>
      </w:r>
      <w:r w:rsidRPr="007B071B">
        <w:rPr>
          <w:rFonts w:hint="cs"/>
          <w:sz w:val="28"/>
          <w:szCs w:val="28"/>
          <w:rtl/>
        </w:rPr>
        <w:t xml:space="preserve"> با استفاده از روش‌های کم هزینه، ترسیمی مناسب از زمینه‌های کاربردی محصول، بخش‌بندی بازار، مشتریان بالقوه، رقبا، برآورد اولیه از تقاضای بازار و ارزیابی تهدیدها و فرصت‌‌های کسب و کار، مورد بررسی و تحقیق قرار می‌گیرد.</w:t>
      </w:r>
    </w:p>
    <w:p w:rsidR="00715CDA" w:rsidRDefault="00FC782A" w:rsidP="00907E46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sz w:val="28"/>
          <w:szCs w:val="28"/>
        </w:rPr>
      </w:pPr>
      <w:r w:rsidRPr="007B071B">
        <w:rPr>
          <w:rFonts w:hint="cs"/>
          <w:sz w:val="28"/>
          <w:szCs w:val="28"/>
          <w:u w:val="single"/>
          <w:rtl/>
        </w:rPr>
        <w:t>گزارش‌های رصد بازار</w:t>
      </w:r>
      <w:r w:rsidRPr="007B071B">
        <w:rPr>
          <w:rFonts w:hint="cs"/>
          <w:sz w:val="28"/>
          <w:szCs w:val="28"/>
          <w:rtl/>
        </w:rPr>
        <w:t>: این نوع از گزارش</w:t>
      </w:r>
      <w:r w:rsidR="00412CD7">
        <w:rPr>
          <w:rFonts w:hint="cs"/>
          <w:sz w:val="28"/>
          <w:szCs w:val="28"/>
          <w:rtl/>
        </w:rPr>
        <w:t>‌ها</w:t>
      </w:r>
      <w:r w:rsidRPr="007B071B">
        <w:rPr>
          <w:rFonts w:hint="cs"/>
          <w:sz w:val="28"/>
          <w:szCs w:val="28"/>
          <w:rtl/>
        </w:rPr>
        <w:t>ی بازار با هدفی جامع و به منظور شناسایی فضای بازار یک فناوری مادر و یا محصولی که دارای کاربردهای متنوع در حوزه</w:t>
      </w:r>
      <w:r w:rsidRPr="007B071B">
        <w:rPr>
          <w:rFonts w:hint="eastAsia"/>
          <w:sz w:val="28"/>
          <w:szCs w:val="28"/>
          <w:rtl/>
        </w:rPr>
        <w:t>‌های مختلف</w:t>
      </w:r>
      <w:r w:rsidRPr="007B071B">
        <w:rPr>
          <w:rFonts w:hint="cs"/>
          <w:sz w:val="28"/>
          <w:szCs w:val="28"/>
          <w:rtl/>
        </w:rPr>
        <w:t xml:space="preserve"> می‌باشد، تدوین می‌گردد. گزارش رصد بازار در مقایسه با گزارش مطالعه فرصت از گستردگی اطلاعات بیشتر و تحلیل‌های عمیق‌تری برخوردار بوده و جزئیات بیشتری را مورد بررسی قرار می‌‌دهد. تحلیل رفتار مصرف‌کننده، </w:t>
      </w:r>
      <w:r w:rsidRPr="007B071B">
        <w:rPr>
          <w:rFonts w:hint="cs"/>
          <w:sz w:val="28"/>
          <w:szCs w:val="28"/>
          <w:rtl/>
        </w:rPr>
        <w:lastRenderedPageBreak/>
        <w:t xml:space="preserve">تدوین استراتژی ورود به بازار، ارائه راهکارهای مرتبط و ... از جمله موارد مهمی است که </w:t>
      </w:r>
      <w:r w:rsidR="00412CD7">
        <w:rPr>
          <w:rFonts w:hint="cs"/>
          <w:sz w:val="28"/>
          <w:szCs w:val="28"/>
          <w:rtl/>
        </w:rPr>
        <w:t>‌به صورت</w:t>
      </w:r>
      <w:r w:rsidRPr="007B071B">
        <w:rPr>
          <w:rFonts w:hint="cs"/>
          <w:sz w:val="28"/>
          <w:szCs w:val="28"/>
          <w:rtl/>
        </w:rPr>
        <w:t xml:space="preserve"> اختصاصی در این گزارش‌ها مورد ارزیابی قرار می‌گیرد.</w:t>
      </w:r>
    </w:p>
    <w:p w:rsidR="00715CDA" w:rsidRPr="007B071B" w:rsidRDefault="00FC782A" w:rsidP="00907E46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b/>
          <w:bCs/>
          <w:sz w:val="28"/>
          <w:szCs w:val="28"/>
          <w:rtl/>
        </w:rPr>
      </w:pPr>
      <w:r w:rsidRPr="007B071B">
        <w:rPr>
          <w:rFonts w:hint="cs"/>
          <w:b/>
          <w:bCs/>
          <w:sz w:val="28"/>
          <w:szCs w:val="28"/>
          <w:rtl/>
        </w:rPr>
        <w:t xml:space="preserve">میزان حمایت </w:t>
      </w:r>
    </w:p>
    <w:p w:rsidR="00715CDA" w:rsidRPr="007B071B" w:rsidRDefault="00FC782A" w:rsidP="007853BE">
      <w:pPr>
        <w:spacing w:before="240" w:after="240" w:line="360" w:lineRule="auto"/>
        <w:contextualSpacing/>
        <w:jc w:val="both"/>
        <w:rPr>
          <w:b/>
          <w:bCs/>
          <w:sz w:val="28"/>
          <w:rtl/>
        </w:rPr>
      </w:pPr>
      <w:r w:rsidRPr="007B071B">
        <w:rPr>
          <w:rFonts w:hint="cs"/>
          <w:sz w:val="28"/>
          <w:rtl/>
        </w:rPr>
        <w:t xml:space="preserve">شرکت‌ها می‌توانند به میزان 50% از هزینه‌های تهیه این گزارش‌ها را با رعایت سقف مندرج در جدول ذیل، از محل حمایت‌‌ معاونت علمی و فناوری ریاست جمهوری دریافت کنند.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41"/>
        <w:gridCol w:w="2355"/>
        <w:gridCol w:w="2427"/>
        <w:gridCol w:w="2453"/>
      </w:tblGrid>
      <w:tr w:rsidR="007853BE" w:rsidRPr="007B071B" w:rsidTr="0027625D">
        <w:trPr>
          <w:trHeight w:val="695"/>
          <w:jc w:val="center"/>
        </w:trPr>
        <w:tc>
          <w:tcPr>
            <w:tcW w:w="2341" w:type="dxa"/>
            <w:shd w:val="clear" w:color="auto" w:fill="D9D9D9"/>
            <w:vAlign w:val="center"/>
          </w:tcPr>
          <w:p w:rsidR="007853BE" w:rsidRPr="000F0557" w:rsidRDefault="007853B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0557">
              <w:rPr>
                <w:rFonts w:cs="B Nazanin" w:hint="cs"/>
                <w:b/>
                <w:bCs/>
                <w:sz w:val="24"/>
                <w:szCs w:val="24"/>
                <w:rtl/>
              </w:rPr>
              <w:t>نوع خدمت</w:t>
            </w:r>
          </w:p>
        </w:tc>
        <w:tc>
          <w:tcPr>
            <w:tcW w:w="2355" w:type="dxa"/>
            <w:shd w:val="clear" w:color="auto" w:fill="D9D9D9"/>
            <w:vAlign w:val="center"/>
          </w:tcPr>
          <w:p w:rsidR="007853BE" w:rsidRPr="000F0557" w:rsidRDefault="007853B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0557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حمایت</w:t>
            </w:r>
          </w:p>
        </w:tc>
        <w:tc>
          <w:tcPr>
            <w:tcW w:w="2427" w:type="dxa"/>
            <w:shd w:val="clear" w:color="auto" w:fill="D9D9D9"/>
          </w:tcPr>
          <w:p w:rsidR="007853BE" w:rsidRPr="000F0557" w:rsidRDefault="007853B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سقف حمایت</w:t>
            </w:r>
          </w:p>
        </w:tc>
        <w:tc>
          <w:tcPr>
            <w:tcW w:w="2453" w:type="dxa"/>
            <w:shd w:val="clear" w:color="auto" w:fill="D9D9D9"/>
            <w:vAlign w:val="center"/>
          </w:tcPr>
          <w:p w:rsidR="007853BE" w:rsidRPr="000F0557" w:rsidRDefault="007853BE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853BE" w:rsidRPr="007B071B" w:rsidTr="00946B30">
        <w:trPr>
          <w:trHeight w:val="672"/>
          <w:jc w:val="center"/>
        </w:trPr>
        <w:tc>
          <w:tcPr>
            <w:tcW w:w="2341" w:type="dxa"/>
            <w:shd w:val="clear" w:color="auto" w:fill="D9D9D9"/>
            <w:vAlign w:val="center"/>
          </w:tcPr>
          <w:p w:rsidR="007853BE" w:rsidRPr="000F0557" w:rsidRDefault="007853BE" w:rsidP="00F97DEB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0557">
              <w:rPr>
                <w:rFonts w:cs="B Nazanin" w:hint="cs"/>
                <w:sz w:val="24"/>
                <w:szCs w:val="24"/>
                <w:rtl/>
              </w:rPr>
              <w:t>گزارش مطالعه فرصت</w:t>
            </w:r>
          </w:p>
        </w:tc>
        <w:tc>
          <w:tcPr>
            <w:tcW w:w="2355" w:type="dxa"/>
            <w:vMerge w:val="restart"/>
            <w:vAlign w:val="center"/>
          </w:tcPr>
          <w:p w:rsidR="007853BE" w:rsidRPr="000F0557" w:rsidRDefault="007853BE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0557">
              <w:rPr>
                <w:rFonts w:cs="B Nazanin" w:hint="cs"/>
                <w:sz w:val="24"/>
                <w:szCs w:val="24"/>
                <w:rtl/>
              </w:rPr>
              <w:t>50% از هزینه خدمت</w:t>
            </w:r>
          </w:p>
        </w:tc>
        <w:tc>
          <w:tcPr>
            <w:tcW w:w="2427" w:type="dxa"/>
            <w:vMerge w:val="restart"/>
          </w:tcPr>
          <w:p w:rsidR="007853BE" w:rsidRDefault="007853BE" w:rsidP="00FC3472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250 میلیون ریال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853BE" w:rsidRPr="000F0557" w:rsidRDefault="007853BE" w:rsidP="00FC3472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 صورت تجمیعی</w:t>
            </w:r>
          </w:p>
        </w:tc>
        <w:tc>
          <w:tcPr>
            <w:tcW w:w="2453" w:type="dxa"/>
            <w:vAlign w:val="center"/>
          </w:tcPr>
          <w:p w:rsidR="007853BE" w:rsidRPr="000F0557" w:rsidRDefault="007853BE" w:rsidP="00FC3472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853BE" w:rsidRPr="007B071B" w:rsidTr="00946B30">
        <w:trPr>
          <w:trHeight w:val="462"/>
          <w:jc w:val="center"/>
        </w:trPr>
        <w:tc>
          <w:tcPr>
            <w:tcW w:w="2341" w:type="dxa"/>
            <w:shd w:val="clear" w:color="auto" w:fill="D9D9D9"/>
            <w:vAlign w:val="center"/>
          </w:tcPr>
          <w:p w:rsidR="007853BE" w:rsidRPr="000F0557" w:rsidRDefault="007853BE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0557">
              <w:rPr>
                <w:rFonts w:cs="B Nazanin" w:hint="cs"/>
                <w:sz w:val="24"/>
                <w:szCs w:val="24"/>
                <w:rtl/>
              </w:rPr>
              <w:t>گزارش رصد بازار</w:t>
            </w:r>
          </w:p>
        </w:tc>
        <w:tc>
          <w:tcPr>
            <w:tcW w:w="2355" w:type="dxa"/>
            <w:vMerge/>
            <w:vAlign w:val="center"/>
          </w:tcPr>
          <w:p w:rsidR="007853BE" w:rsidRPr="000F0557" w:rsidRDefault="007853BE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7" w:type="dxa"/>
            <w:vMerge/>
          </w:tcPr>
          <w:p w:rsidR="007853BE" w:rsidRPr="000F0557" w:rsidRDefault="007853BE" w:rsidP="00FC3472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3" w:type="dxa"/>
            <w:vAlign w:val="center"/>
          </w:tcPr>
          <w:p w:rsidR="007853BE" w:rsidRPr="000F0557" w:rsidRDefault="007853BE" w:rsidP="00FC3472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15CDA" w:rsidRPr="007B071B" w:rsidRDefault="00FC782A" w:rsidP="00907E46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b/>
          <w:bCs/>
          <w:sz w:val="28"/>
          <w:szCs w:val="28"/>
          <w:rtl/>
        </w:rPr>
      </w:pPr>
      <w:r w:rsidRPr="007B071B">
        <w:rPr>
          <w:rFonts w:hint="cs"/>
          <w:b/>
          <w:bCs/>
          <w:sz w:val="28"/>
          <w:szCs w:val="28"/>
          <w:rtl/>
        </w:rPr>
        <w:t xml:space="preserve">شرایط دریافت حمایت </w:t>
      </w:r>
    </w:p>
    <w:p w:rsidR="00715CDA" w:rsidRPr="007B071B" w:rsidRDefault="00FC782A" w:rsidP="00F97DEB">
      <w:pPr>
        <w:spacing w:after="240" w:line="276" w:lineRule="auto"/>
        <w:jc w:val="both"/>
        <w:rPr>
          <w:sz w:val="28"/>
          <w:rtl/>
        </w:rPr>
      </w:pPr>
      <w:r w:rsidRPr="007B071B">
        <w:rPr>
          <w:rFonts w:hint="cs"/>
          <w:sz w:val="28"/>
          <w:rtl/>
        </w:rPr>
        <w:t xml:space="preserve">پس از اتمام و تکمیل پروژه، شرکت متقاضی باید کلیه مستندات مربوطه را از طریق سامانه </w:t>
      </w:r>
      <w:r w:rsidRPr="007B071B">
        <w:rPr>
          <w:sz w:val="28"/>
        </w:rPr>
        <w:t>bizservices.ir</w:t>
      </w:r>
      <w:r w:rsidRPr="007B071B">
        <w:rPr>
          <w:rFonts w:hint="cs"/>
          <w:sz w:val="28"/>
          <w:rtl/>
        </w:rPr>
        <w:t xml:space="preserve"> بارگذاری کند. پس از بررسی و تایید مدارک ارسالی، نسبت به پرداخت سهم حمایتی معاونت علمی و فناوری ریاست جمهوری در وجه شرکت متقاضی اقدام می‌شود. </w:t>
      </w:r>
    </w:p>
    <w:p w:rsidR="00715CDA" w:rsidRPr="007B071B" w:rsidRDefault="00843F2B">
      <w:pPr>
        <w:spacing w:after="240" w:line="276" w:lineRule="auto"/>
        <w:jc w:val="both"/>
        <w:rPr>
          <w:sz w:val="28"/>
          <w:rtl/>
        </w:rPr>
      </w:pPr>
      <w:r w:rsidRPr="00CC32D8">
        <w:rPr>
          <w:rFonts w:hint="cs"/>
          <w:sz w:val="28"/>
          <w:rtl/>
        </w:rPr>
        <w:t>بعد از اتمام خدمت، مستندات زیر بایستی در سامانه مذکور بارگذاری گردد:</w:t>
      </w:r>
      <w:r w:rsidR="00FC782A" w:rsidRPr="007B071B">
        <w:rPr>
          <w:rFonts w:hint="cs"/>
          <w:sz w:val="28"/>
          <w:rtl/>
        </w:rPr>
        <w:t xml:space="preserve"> 1. پروپوزال انجام پروژه 2. قرارداد منعقده 3. یک نسخه از گزارش تهیه‌شده 4. ارائه فاکتور رسمی و کلیه مستندات مالی 5. نامه رسمی شرکت حاوی اطلاعات حساب (شماره حساب، کد شبا، نام بانک و کد شعبه)</w:t>
      </w:r>
    </w:p>
    <w:p w:rsidR="00715CDA" w:rsidRPr="007B071B" w:rsidRDefault="00FC782A" w:rsidP="00843F2B">
      <w:pPr>
        <w:spacing w:after="240" w:line="276" w:lineRule="auto"/>
        <w:jc w:val="both"/>
        <w:rPr>
          <w:sz w:val="28"/>
          <w:rtl/>
          <w:lang w:bidi="fa-IR"/>
        </w:rPr>
      </w:pPr>
      <w:r w:rsidRPr="007B071B">
        <w:rPr>
          <w:rFonts w:hint="cs"/>
          <w:b/>
          <w:bCs/>
          <w:sz w:val="28"/>
          <w:rtl/>
        </w:rPr>
        <w:t xml:space="preserve">تبصره </w:t>
      </w:r>
      <w:r w:rsidR="00843F2B">
        <w:rPr>
          <w:rFonts w:hint="cs"/>
          <w:b/>
          <w:bCs/>
          <w:sz w:val="28"/>
          <w:rtl/>
        </w:rPr>
        <w:t>1</w:t>
      </w:r>
      <w:r w:rsidRPr="007B071B">
        <w:rPr>
          <w:rFonts w:hint="cs"/>
          <w:b/>
          <w:bCs/>
          <w:sz w:val="28"/>
          <w:rtl/>
        </w:rPr>
        <w:t>-</w:t>
      </w:r>
      <w:r w:rsidRPr="007B071B">
        <w:rPr>
          <w:rFonts w:hint="cs"/>
          <w:sz w:val="28"/>
          <w:rtl/>
        </w:rPr>
        <w:t xml:space="preserve"> تعیین نوع گزارش، تنها به واسطه خدمات پیشنهادی در پروپوزال و محتوای گزارش نهایی انجام می‌گیرد.</w:t>
      </w:r>
      <w:r w:rsidRPr="007B071B">
        <w:rPr>
          <w:rFonts w:hint="cs"/>
          <w:sz w:val="28"/>
          <w:rtl/>
          <w:lang w:bidi="fa-IR"/>
        </w:rPr>
        <w:t xml:space="preserve"> </w:t>
      </w:r>
      <w:r w:rsidRPr="007B071B">
        <w:rPr>
          <w:rFonts w:hint="cs"/>
          <w:sz w:val="28"/>
          <w:u w:val="single"/>
          <w:rtl/>
          <w:lang w:bidi="fa-IR"/>
        </w:rPr>
        <w:t xml:space="preserve">بنابراین </w:t>
      </w:r>
      <w:r w:rsidRPr="007B071B">
        <w:rPr>
          <w:rFonts w:hint="cs"/>
          <w:sz w:val="28"/>
          <w:u w:val="single"/>
          <w:rtl/>
        </w:rPr>
        <w:t>مبلغ قرارداد منعقده، به هیچ عنوان ملاک تشخیص نوع گزارش و میزان حمایت مالی معاونت علمی و فناوری ریاست جمهوری نخواهد بود</w:t>
      </w:r>
      <w:r w:rsidRPr="007B071B">
        <w:rPr>
          <w:rFonts w:hint="cs"/>
          <w:sz w:val="28"/>
          <w:u w:val="single"/>
          <w:rtl/>
          <w:lang w:bidi="fa-IR"/>
        </w:rPr>
        <w:t>.</w:t>
      </w:r>
      <w:r w:rsidRPr="007B071B">
        <w:rPr>
          <w:rFonts w:hint="cs"/>
          <w:sz w:val="28"/>
          <w:rtl/>
          <w:lang w:bidi="fa-IR"/>
        </w:rPr>
        <w:t xml:space="preserve"> بر همین اساس به شرکت‌های متقاضی پیشنهاد می‌گردد پیش از انعقاد قرارداد، تناسب خدمات موجود در پروپوزال و هزینه انجام خدمت، از طریق بارگذاری در </w:t>
      </w:r>
      <w:r w:rsidRPr="007B071B">
        <w:rPr>
          <w:rFonts w:hint="cs"/>
          <w:sz w:val="28"/>
          <w:rtl/>
        </w:rPr>
        <w:t xml:space="preserve">سامانه </w:t>
      </w:r>
      <w:r w:rsidRPr="007B071B">
        <w:rPr>
          <w:sz w:val="28"/>
        </w:rPr>
        <w:t>bizservices.ir</w:t>
      </w:r>
      <w:r w:rsidRPr="007B071B">
        <w:rPr>
          <w:rFonts w:hint="cs"/>
          <w:sz w:val="28"/>
          <w:rtl/>
        </w:rPr>
        <w:t xml:space="preserve"> </w:t>
      </w:r>
      <w:r w:rsidRPr="007B071B">
        <w:rPr>
          <w:rFonts w:hint="cs"/>
          <w:sz w:val="28"/>
          <w:rtl/>
          <w:lang w:bidi="fa-IR"/>
        </w:rPr>
        <w:t>به تایید معاونت علمی و فناوری ریاست جمهوری رسیده‌ باشد.</w:t>
      </w:r>
    </w:p>
    <w:p w:rsidR="00715CDA" w:rsidRPr="007B071B" w:rsidRDefault="00FC782A" w:rsidP="000F0557">
      <w:pPr>
        <w:spacing w:after="240" w:line="276" w:lineRule="auto"/>
        <w:jc w:val="both"/>
        <w:rPr>
          <w:sz w:val="28"/>
          <w:rtl/>
        </w:rPr>
      </w:pPr>
      <w:r w:rsidRPr="007B071B">
        <w:rPr>
          <w:rFonts w:hint="cs"/>
          <w:b/>
          <w:bCs/>
          <w:sz w:val="28"/>
          <w:rtl/>
        </w:rPr>
        <w:lastRenderedPageBreak/>
        <w:t xml:space="preserve">تبصره </w:t>
      </w:r>
      <w:r w:rsidR="00843F2B">
        <w:rPr>
          <w:rFonts w:hint="cs"/>
          <w:b/>
          <w:bCs/>
          <w:sz w:val="28"/>
          <w:rtl/>
        </w:rPr>
        <w:t>2</w:t>
      </w:r>
      <w:r w:rsidRPr="007B071B">
        <w:rPr>
          <w:rFonts w:hint="cs"/>
          <w:b/>
          <w:bCs/>
          <w:sz w:val="28"/>
          <w:rtl/>
        </w:rPr>
        <w:t>-</w:t>
      </w:r>
      <w:r w:rsidRPr="007B071B">
        <w:rPr>
          <w:rFonts w:hint="cs"/>
          <w:sz w:val="28"/>
          <w:rtl/>
        </w:rPr>
        <w:t xml:space="preserve"> قراردادهای مورد تایید معاونت علمی و فناوری ریاست جمهوری شامل قرادادهایی است که </w:t>
      </w:r>
      <w:r w:rsidR="00412CD7">
        <w:rPr>
          <w:rFonts w:hint="cs"/>
          <w:sz w:val="28"/>
          <w:rtl/>
        </w:rPr>
        <w:t>‌به صورت</w:t>
      </w:r>
      <w:r w:rsidRPr="007B071B">
        <w:rPr>
          <w:rFonts w:hint="cs"/>
          <w:sz w:val="28"/>
          <w:rtl/>
        </w:rPr>
        <w:t xml:space="preserve"> حقوقی بین شرکت متقاضی و شرکت کارگزار منعقد گردد. همچنین ارائه فاکتور رسمی مورد تایید اداره مالیات (از سوی کارگزار در وجه شرکت متقاضی) جهت بهره‌مندی از حمایت الزامی است.</w:t>
      </w:r>
    </w:p>
    <w:p w:rsidR="00715CDA" w:rsidRPr="007B071B" w:rsidRDefault="00FC782A" w:rsidP="00843F2B">
      <w:pPr>
        <w:spacing w:after="240" w:line="276" w:lineRule="auto"/>
        <w:jc w:val="both"/>
        <w:rPr>
          <w:sz w:val="28"/>
          <w:rtl/>
        </w:rPr>
      </w:pPr>
      <w:r w:rsidRPr="007B071B">
        <w:rPr>
          <w:rFonts w:hint="cs"/>
          <w:b/>
          <w:bCs/>
          <w:sz w:val="28"/>
          <w:rtl/>
        </w:rPr>
        <w:t xml:space="preserve">تبصره </w:t>
      </w:r>
      <w:r w:rsidR="00843F2B">
        <w:rPr>
          <w:rFonts w:hint="cs"/>
          <w:b/>
          <w:bCs/>
          <w:sz w:val="28"/>
          <w:rtl/>
        </w:rPr>
        <w:t>3</w:t>
      </w:r>
      <w:r w:rsidRPr="007B071B">
        <w:rPr>
          <w:rFonts w:hint="cs"/>
          <w:b/>
          <w:bCs/>
          <w:sz w:val="28"/>
          <w:rtl/>
        </w:rPr>
        <w:t>-</w:t>
      </w:r>
      <w:r w:rsidRPr="007B071B">
        <w:rPr>
          <w:rFonts w:hint="cs"/>
          <w:sz w:val="28"/>
          <w:rtl/>
        </w:rPr>
        <w:t xml:space="preserve"> در صورت </w:t>
      </w:r>
      <w:r w:rsidRPr="007B071B">
        <w:rPr>
          <w:rFonts w:hint="cs"/>
          <w:sz w:val="28"/>
          <w:rtl/>
          <w:lang w:bidi="fa-IR"/>
        </w:rPr>
        <w:t xml:space="preserve">عدم توافق شرکت با کارگزاران معرفی شده یا </w:t>
      </w:r>
      <w:r w:rsidRPr="007B071B">
        <w:rPr>
          <w:rFonts w:hint="cs"/>
          <w:sz w:val="28"/>
          <w:rtl/>
        </w:rPr>
        <w:t>تمایل شرکت</w:t>
      </w:r>
      <w:r w:rsidRPr="007B071B">
        <w:rPr>
          <w:rFonts w:hint="eastAsia"/>
          <w:sz w:val="28"/>
          <w:rtl/>
        </w:rPr>
        <w:t>‌</w:t>
      </w:r>
      <w:r w:rsidRPr="007B071B">
        <w:rPr>
          <w:rFonts w:hint="cs"/>
          <w:sz w:val="28"/>
          <w:rtl/>
        </w:rPr>
        <w:t xml:space="preserve">ها به همکاری با سایر کارگزاران و مجریان باید صلاحیت آنان پیش از عقد قرارداد به تایید </w:t>
      </w:r>
      <w:r w:rsidRPr="007B071B">
        <w:rPr>
          <w:rFonts w:hint="cs"/>
          <w:sz w:val="28"/>
          <w:rtl/>
          <w:lang w:bidi="fa-IR"/>
        </w:rPr>
        <w:t>معاونت علمی و فناوری ریاست جمهوری</w:t>
      </w:r>
      <w:r w:rsidRPr="007B071B">
        <w:rPr>
          <w:rFonts w:hint="cs"/>
          <w:sz w:val="28"/>
          <w:rtl/>
        </w:rPr>
        <w:t xml:space="preserve"> رسیده باشد.</w:t>
      </w:r>
    </w:p>
    <w:p w:rsidR="00715CDA" w:rsidRPr="007B071B" w:rsidRDefault="00FC782A" w:rsidP="00843F2B">
      <w:pPr>
        <w:spacing w:after="240" w:line="276" w:lineRule="auto"/>
        <w:jc w:val="both"/>
        <w:rPr>
          <w:sz w:val="28"/>
          <w:rtl/>
        </w:rPr>
      </w:pPr>
      <w:r w:rsidRPr="007B071B">
        <w:rPr>
          <w:rFonts w:hint="cs"/>
          <w:b/>
          <w:bCs/>
          <w:sz w:val="28"/>
          <w:rtl/>
        </w:rPr>
        <w:t>تبصره</w:t>
      </w:r>
      <w:r w:rsidRPr="007B071B">
        <w:rPr>
          <w:rFonts w:hint="cs"/>
          <w:sz w:val="28"/>
          <w:rtl/>
        </w:rPr>
        <w:t xml:space="preserve"> </w:t>
      </w:r>
      <w:r w:rsidR="00843F2B">
        <w:rPr>
          <w:rFonts w:hint="cs"/>
          <w:b/>
          <w:bCs/>
          <w:sz w:val="28"/>
          <w:rtl/>
        </w:rPr>
        <w:t>4</w:t>
      </w:r>
      <w:r w:rsidRPr="007B071B">
        <w:rPr>
          <w:rFonts w:hint="cs"/>
          <w:sz w:val="28"/>
          <w:rtl/>
        </w:rPr>
        <w:t>- شرکت دانش‌بنیان</w:t>
      </w:r>
      <w:r w:rsidR="00B217BF">
        <w:rPr>
          <w:rFonts w:hint="cs"/>
          <w:sz w:val="28"/>
          <w:rtl/>
        </w:rPr>
        <w:t>، خلاق و فناور</w:t>
      </w:r>
      <w:r w:rsidRPr="007B071B">
        <w:rPr>
          <w:rFonts w:hint="cs"/>
          <w:sz w:val="28"/>
          <w:rtl/>
        </w:rPr>
        <w:t xml:space="preserve"> علاوه بر نظارت بر محتوای گزارش، موظف است در جهت پیشبرد پروژه همکاری</w:t>
      </w:r>
      <w:r w:rsidRPr="007B071B">
        <w:rPr>
          <w:rFonts w:hint="eastAsia"/>
          <w:sz w:val="28"/>
          <w:rtl/>
        </w:rPr>
        <w:t>‌های لازم</w:t>
      </w:r>
      <w:r w:rsidRPr="007B071B">
        <w:rPr>
          <w:rFonts w:hint="cs"/>
          <w:sz w:val="28"/>
          <w:rtl/>
        </w:rPr>
        <w:t xml:space="preserve"> با کارگزار را به عمل آورد. بنابراین تامین اطلاعات مربوط به ابعاد فنی محصول در صورتی که در راستای انجام تحقیقات بازار مورد نیاز باشد، بر عهده شرکت متقاضی است.</w:t>
      </w:r>
    </w:p>
    <w:p w:rsidR="00715CDA" w:rsidRPr="007B071B" w:rsidRDefault="00FC782A" w:rsidP="00172F71">
      <w:pPr>
        <w:spacing w:after="240" w:line="276" w:lineRule="auto"/>
        <w:jc w:val="both"/>
        <w:rPr>
          <w:b/>
          <w:bCs/>
          <w:sz w:val="28"/>
          <w:rtl/>
        </w:rPr>
      </w:pPr>
      <w:r w:rsidRPr="007B071B">
        <w:rPr>
          <w:rFonts w:hint="cs"/>
          <w:b/>
          <w:bCs/>
          <w:sz w:val="28"/>
          <w:rtl/>
        </w:rPr>
        <w:t>تبصره</w:t>
      </w:r>
      <w:r w:rsidRPr="007B071B">
        <w:rPr>
          <w:rFonts w:hint="cs"/>
          <w:sz w:val="28"/>
          <w:rtl/>
        </w:rPr>
        <w:t xml:space="preserve"> </w:t>
      </w:r>
      <w:r w:rsidR="00843F2B">
        <w:rPr>
          <w:rFonts w:hint="cs"/>
          <w:sz w:val="28"/>
          <w:rtl/>
        </w:rPr>
        <w:t>5</w:t>
      </w:r>
      <w:r w:rsidR="00172F71">
        <w:rPr>
          <w:rFonts w:hint="cs"/>
          <w:sz w:val="28"/>
          <w:rtl/>
        </w:rPr>
        <w:t xml:space="preserve">- شرکت‌ها </w:t>
      </w:r>
      <w:r w:rsidRPr="007B071B">
        <w:rPr>
          <w:rFonts w:hint="cs"/>
          <w:sz w:val="28"/>
          <w:rtl/>
        </w:rPr>
        <w:t xml:space="preserve">موظف </w:t>
      </w:r>
      <w:r w:rsidR="00172F71">
        <w:rPr>
          <w:rFonts w:hint="cs"/>
          <w:sz w:val="28"/>
          <w:rtl/>
        </w:rPr>
        <w:t xml:space="preserve">هستند </w:t>
      </w:r>
      <w:r w:rsidRPr="007B071B">
        <w:rPr>
          <w:rFonts w:hint="cs"/>
          <w:sz w:val="28"/>
          <w:rtl/>
        </w:rPr>
        <w:t xml:space="preserve">نسبت به پیگیری درخواست ثبت‌شده و ارسال مستندات مربوطه در زمان مقرر اقدام </w:t>
      </w:r>
      <w:r w:rsidR="009B4408">
        <w:rPr>
          <w:rFonts w:hint="cs"/>
          <w:sz w:val="28"/>
          <w:rtl/>
        </w:rPr>
        <w:t>نمای</w:t>
      </w:r>
      <w:r w:rsidR="00172F71">
        <w:rPr>
          <w:rFonts w:hint="cs"/>
          <w:sz w:val="28"/>
          <w:rtl/>
        </w:rPr>
        <w:t>ن</w:t>
      </w:r>
      <w:r w:rsidR="009B4408">
        <w:rPr>
          <w:rFonts w:hint="cs"/>
          <w:sz w:val="28"/>
          <w:rtl/>
        </w:rPr>
        <w:t>د. در صورت عدم رعایت این مسئ</w:t>
      </w:r>
      <w:r w:rsidRPr="007B071B">
        <w:rPr>
          <w:rFonts w:hint="cs"/>
          <w:sz w:val="28"/>
          <w:rtl/>
        </w:rPr>
        <w:t>له، درخواست ثبت‌ شده در پ</w:t>
      </w:r>
      <w:r w:rsidR="009B4408">
        <w:rPr>
          <w:rFonts w:hint="cs"/>
          <w:sz w:val="28"/>
          <w:rtl/>
        </w:rPr>
        <w:t>و</w:t>
      </w:r>
      <w:r w:rsidRPr="007B071B">
        <w:rPr>
          <w:rFonts w:hint="cs"/>
          <w:sz w:val="28"/>
          <w:rtl/>
        </w:rPr>
        <w:t xml:space="preserve">رتال منقضی و </w:t>
      </w:r>
      <w:r w:rsidR="00412CD7">
        <w:rPr>
          <w:rFonts w:hint="cs"/>
          <w:sz w:val="28"/>
          <w:rtl/>
        </w:rPr>
        <w:t>‌به صورت</w:t>
      </w:r>
      <w:r w:rsidRPr="007B071B">
        <w:rPr>
          <w:rFonts w:hint="cs"/>
          <w:sz w:val="28"/>
          <w:rtl/>
        </w:rPr>
        <w:t xml:space="preserve"> خودکار مردود خواهد شد. </w:t>
      </w:r>
      <w:r w:rsidRPr="007B071B">
        <w:rPr>
          <w:rFonts w:hint="cs"/>
          <w:sz w:val="28"/>
          <w:u w:val="single"/>
          <w:rtl/>
        </w:rPr>
        <w:t>این مدت زمان از ثبت درخواست تا تنظیم قرارداد با کارگزار، 1 ماه تعیین شده ‌است.</w:t>
      </w:r>
    </w:p>
    <w:p w:rsidR="00715CDA" w:rsidRPr="007B071B" w:rsidRDefault="00FC782A" w:rsidP="00843F2B">
      <w:pPr>
        <w:spacing w:after="240" w:line="276" w:lineRule="auto"/>
        <w:jc w:val="both"/>
        <w:rPr>
          <w:sz w:val="28"/>
          <w:rtl/>
        </w:rPr>
      </w:pPr>
      <w:r w:rsidRPr="007B071B">
        <w:rPr>
          <w:rFonts w:hint="eastAsia"/>
          <w:b/>
          <w:bCs/>
          <w:sz w:val="28"/>
          <w:rtl/>
        </w:rPr>
        <w:t>تبصره</w:t>
      </w:r>
      <w:r w:rsidRPr="007B071B">
        <w:rPr>
          <w:rFonts w:hint="cs"/>
          <w:b/>
          <w:bCs/>
          <w:sz w:val="28"/>
          <w:rtl/>
        </w:rPr>
        <w:t xml:space="preserve"> </w:t>
      </w:r>
      <w:r w:rsidR="00843F2B">
        <w:rPr>
          <w:rFonts w:hint="cs"/>
          <w:b/>
          <w:bCs/>
          <w:sz w:val="28"/>
          <w:rtl/>
        </w:rPr>
        <w:t>6</w:t>
      </w:r>
      <w:r w:rsidRPr="007B071B">
        <w:rPr>
          <w:b/>
          <w:bCs/>
          <w:sz w:val="28"/>
          <w:rtl/>
        </w:rPr>
        <w:t>-</w:t>
      </w:r>
      <w:r w:rsidRPr="007B071B">
        <w:rPr>
          <w:sz w:val="28"/>
          <w:rtl/>
        </w:rPr>
        <w:t xml:space="preserve"> </w:t>
      </w:r>
      <w:r w:rsidRPr="007B071B">
        <w:rPr>
          <w:rFonts w:hint="cs"/>
          <w:sz w:val="28"/>
          <w:rtl/>
        </w:rPr>
        <w:t>مسئولیت</w:t>
      </w:r>
      <w:r w:rsidR="00E1766D">
        <w:rPr>
          <w:rFonts w:hint="cs"/>
          <w:sz w:val="28"/>
          <w:rtl/>
        </w:rPr>
        <w:t>‌</w:t>
      </w:r>
      <w:r w:rsidRPr="007B071B">
        <w:rPr>
          <w:rFonts w:hint="cs"/>
          <w:sz w:val="28"/>
          <w:rtl/>
        </w:rPr>
        <w:t>های اجرای درست و موثر پروژه بر عهده شرکت</w:t>
      </w:r>
      <w:r w:rsidRPr="007B071B">
        <w:rPr>
          <w:rFonts w:hint="eastAsia"/>
          <w:sz w:val="28"/>
          <w:rtl/>
        </w:rPr>
        <w:t>‌های</w:t>
      </w:r>
      <w:r w:rsidRPr="007B071B">
        <w:rPr>
          <w:rFonts w:hint="cs"/>
          <w:sz w:val="28"/>
          <w:rtl/>
        </w:rPr>
        <w:t xml:space="preserve"> متقاضی می</w:t>
      </w:r>
      <w:r w:rsidRPr="007B071B">
        <w:rPr>
          <w:rFonts w:hint="eastAsia"/>
          <w:sz w:val="28"/>
          <w:rtl/>
        </w:rPr>
        <w:t>‌</w:t>
      </w:r>
      <w:r w:rsidRPr="007B071B">
        <w:rPr>
          <w:rFonts w:hint="cs"/>
          <w:sz w:val="28"/>
          <w:rtl/>
        </w:rPr>
        <w:t>باشد. معاونت علمی و فناوری ریاست جمهوری تنها بر مبنای مستندات و گزارش</w:t>
      </w:r>
      <w:r w:rsidR="00412CD7">
        <w:rPr>
          <w:rFonts w:hint="cs"/>
          <w:sz w:val="28"/>
          <w:rtl/>
        </w:rPr>
        <w:t>‌ها</w:t>
      </w:r>
      <w:r w:rsidRPr="007B071B">
        <w:rPr>
          <w:rFonts w:hint="cs"/>
          <w:sz w:val="28"/>
          <w:rtl/>
        </w:rPr>
        <w:t>ی دریافتی، وجه حمایتی را اختصاص خواهد داد و در قبال دعاوی احتمالی بین شرکت‌های دانش‌بنیان با کارگزاران، هیچگونه مسئولیتی بر عهده ندارد.</w:t>
      </w:r>
    </w:p>
    <w:p w:rsidR="00715CDA" w:rsidRPr="007B071B" w:rsidRDefault="00715CDA">
      <w:pPr>
        <w:spacing w:after="240" w:line="276" w:lineRule="auto"/>
        <w:jc w:val="both"/>
        <w:rPr>
          <w:sz w:val="28"/>
          <w:rtl/>
        </w:rPr>
      </w:pPr>
    </w:p>
    <w:p w:rsidR="00715CDA" w:rsidRPr="007B071B" w:rsidRDefault="00715CDA">
      <w:pPr>
        <w:rPr>
          <w:sz w:val="28"/>
          <w:lang w:bidi="fa-IR"/>
        </w:rPr>
      </w:pPr>
    </w:p>
    <w:sectPr w:rsidR="00715CDA" w:rsidRPr="007B071B" w:rsidSect="00715CD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D5" w:rsidRDefault="00C106D5" w:rsidP="00715CDA">
      <w:r>
        <w:separator/>
      </w:r>
    </w:p>
  </w:endnote>
  <w:endnote w:type="continuationSeparator" w:id="0">
    <w:p w:rsidR="00C106D5" w:rsidRDefault="00C106D5" w:rsidP="0071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D5" w:rsidRDefault="00C106D5" w:rsidP="00715CDA">
      <w:r>
        <w:separator/>
      </w:r>
    </w:p>
  </w:footnote>
  <w:footnote w:type="continuationSeparator" w:id="0">
    <w:p w:rsidR="00C106D5" w:rsidRDefault="00C106D5" w:rsidP="00715CDA">
      <w:r>
        <w:continuationSeparator/>
      </w:r>
    </w:p>
  </w:footnote>
  <w:footnote w:id="1">
    <w:p w:rsidR="00B45522" w:rsidRDefault="00B45522" w:rsidP="00B45522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74EA9">
        <w:rPr>
          <w:rtl/>
          <w:lang w:bidi="fa-IR"/>
        </w:rPr>
        <w:t xml:space="preserve"> مرکز شرکت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دانش بن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ان</w:t>
      </w:r>
      <w:r w:rsidRPr="00B74EA9">
        <w:rPr>
          <w:rtl/>
          <w:lang w:bidi="fa-IR"/>
        </w:rPr>
        <w:t xml:space="preserve"> در سال 140</w:t>
      </w:r>
      <w:r w:rsidR="0050548F">
        <w:rPr>
          <w:rFonts w:hint="cs"/>
          <w:rtl/>
          <w:lang w:bidi="fa-IR"/>
        </w:rPr>
        <w:t>1</w:t>
      </w:r>
      <w:r w:rsidRPr="00B74EA9">
        <w:rPr>
          <w:rtl/>
          <w:lang w:bidi="fa-IR"/>
        </w:rPr>
        <w:t xml:space="preserve"> ، علاوه بر شرکت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دانش بن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ان</w:t>
      </w:r>
      <w:r w:rsidRPr="00B74EA9">
        <w:rPr>
          <w:rtl/>
          <w:lang w:bidi="fa-IR"/>
        </w:rPr>
        <w:t xml:space="preserve"> و خلاق 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ن</w:t>
      </w:r>
      <w:r w:rsidRPr="00B74EA9">
        <w:rPr>
          <w:rtl/>
          <w:lang w:bidi="fa-IR"/>
        </w:rPr>
        <w:t xml:space="preserve"> حما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ت</w:t>
      </w:r>
      <w:r w:rsidRPr="00B74EA9">
        <w:rPr>
          <w:rtl/>
          <w:lang w:bidi="fa-IR"/>
        </w:rPr>
        <w:t xml:space="preserve"> را به شرکت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فناور مستقر در پارک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علم و فناور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استان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س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ستان</w:t>
      </w:r>
      <w:r w:rsidRPr="00B74EA9">
        <w:rPr>
          <w:rtl/>
          <w:lang w:bidi="fa-IR"/>
        </w:rPr>
        <w:t xml:space="preserve"> وبلوچستان، کهگ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لو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ه</w:t>
      </w:r>
      <w:r w:rsidRPr="00B74EA9">
        <w:rPr>
          <w:rtl/>
          <w:lang w:bidi="fa-IR"/>
        </w:rPr>
        <w:t xml:space="preserve"> و بو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راحمد،</w:t>
      </w:r>
      <w:r w:rsidRPr="00B74EA9">
        <w:rPr>
          <w:rtl/>
          <w:lang w:bidi="fa-IR"/>
        </w:rPr>
        <w:t xml:space="preserve"> گلستان، کردستان، آذربا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جان</w:t>
      </w:r>
      <w:r w:rsidRPr="00B74EA9">
        <w:rPr>
          <w:rtl/>
          <w:lang w:bidi="fa-IR"/>
        </w:rPr>
        <w:t xml:space="preserve"> غرب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،</w:t>
      </w:r>
      <w:r w:rsidRPr="00B74EA9">
        <w:rPr>
          <w:rtl/>
          <w:lang w:bidi="fa-IR"/>
        </w:rPr>
        <w:t xml:space="preserve"> لرستان، خراسان شمال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،</w:t>
      </w:r>
      <w:r w:rsidRPr="00B74EA9">
        <w:rPr>
          <w:rtl/>
          <w:lang w:bidi="fa-IR"/>
        </w:rPr>
        <w:t xml:space="preserve"> خراسان جنوب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،</w:t>
      </w:r>
      <w:r w:rsidRPr="00B74EA9">
        <w:rPr>
          <w:rtl/>
          <w:lang w:bidi="fa-IR"/>
        </w:rPr>
        <w:t xml:space="preserve"> </w:t>
      </w:r>
      <w:r w:rsidRPr="00B74EA9">
        <w:rPr>
          <w:rFonts w:hint="eastAsia"/>
          <w:rtl/>
          <w:lang w:bidi="fa-IR"/>
        </w:rPr>
        <w:t>چهارمحال</w:t>
      </w:r>
      <w:r w:rsidRPr="00B74EA9">
        <w:rPr>
          <w:rtl/>
          <w:lang w:bidi="fa-IR"/>
        </w:rPr>
        <w:t xml:space="preserve"> و بخت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ار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و 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لام</w:t>
      </w:r>
      <w:r w:rsidRPr="00B74EA9">
        <w:rPr>
          <w:rtl/>
          <w:lang w:bidi="fa-IR"/>
        </w:rPr>
        <w:t xml:space="preserve"> ارائه م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دهد.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17" w:rsidRPr="00114A90" w:rsidRDefault="00C106D5" w:rsidP="000C114A">
    <w:pPr>
      <w:pStyle w:val="Header"/>
      <w:jc w:val="center"/>
      <w:rPr>
        <w:sz w:val="22"/>
        <w:szCs w:val="24"/>
      </w:rPr>
    </w:pPr>
    <w:r>
      <w:rPr>
        <w:noProof/>
        <w:sz w:val="22"/>
        <w:szCs w:val="24"/>
      </w:rPr>
      <w:pict>
        <v:line id="4097" o:spid="_x0000_s2055" style="position:absolute;left:0;text-align:left;flip:x;z-index:251658240;visibility:visible;mso-wrap-distance-left:0;mso-wrap-distance-right:0;mso-width-relative:margin" from="-34.45pt,6.2pt" to="-34.05pt,279pt" strokeweight="3pt">
          <v:stroke linestyle="thinThin"/>
        </v:line>
      </w:pict>
    </w:r>
    <w:r>
      <w:rPr>
        <w:noProof/>
        <w:sz w:val="22"/>
        <w:szCs w:val="24"/>
      </w:rPr>
      <w:pict>
        <v:line id="4099" o:spid="_x0000_s2058" style="position:absolute;left:0;text-align:left;flip:x;z-index:251661312;visibility:visible;mso-wrap-distance-left:0;mso-wrap-distance-right:0;mso-width-relative:margin;mso-height-relative:margin" from="-34.45pt,341.1pt" to="-33.7pt,739.6pt" strokeweight="3pt">
          <v:stroke linestyle="thinThin"/>
        </v:line>
      </w:pict>
    </w:r>
    <w:r>
      <w:rPr>
        <w:noProof/>
        <w:sz w:val="22"/>
        <w:szCs w:val="24"/>
      </w:rPr>
      <w:pict>
        <v:rect id="4100" o:spid="_x0000_s2057" style="position:absolute;left:0;text-align:left;margin-left:-43.05pt;margin-top:322.55pt;width:16.15pt;height:18.65pt;z-index:251660288;visibility:visible;mso-wrap-distance-left:0;mso-wrap-distance-right:0;mso-width-relative:margin;mso-height-relative:margin">
          <v:textbox inset="0,0,0,0">
            <w:txbxContent>
              <w:p w:rsidR="000C114A" w:rsidRDefault="000C114A" w:rsidP="000C114A">
                <w:pPr>
                  <w:jc w:val="center"/>
                  <w:rPr>
                    <w:rFonts w:cs="B Zar"/>
                    <w:b/>
                    <w:szCs w:val="24"/>
                  </w:rPr>
                </w:pPr>
                <w:r>
                  <w:rPr>
                    <w:rFonts w:cs="B Zar"/>
                    <w:b/>
                    <w:szCs w:val="24"/>
                    <w:rtl/>
                  </w:rPr>
                  <w:fldChar w:fldCharType="begin"/>
                </w:r>
                <w:r>
                  <w:rPr>
                    <w:rFonts w:cs="B Zar"/>
                    <w:b/>
                    <w:szCs w:val="24"/>
                  </w:rPr>
                  <w:instrText xml:space="preserve"> PAGE   \* MERGEFORMAT </w:instrText>
                </w:r>
                <w:r>
                  <w:rPr>
                    <w:rFonts w:cs="B Zar"/>
                    <w:b/>
                    <w:szCs w:val="24"/>
                    <w:rtl/>
                  </w:rPr>
                  <w:fldChar w:fldCharType="separate"/>
                </w:r>
                <w:r w:rsidR="0027625D">
                  <w:rPr>
                    <w:rFonts w:cs="B Zar"/>
                    <w:b/>
                    <w:noProof/>
                    <w:szCs w:val="24"/>
                    <w:rtl/>
                  </w:rPr>
                  <w:t>1</w:t>
                </w:r>
                <w:r>
                  <w:rPr>
                    <w:rFonts w:cs="B Zar"/>
                    <w:b/>
                    <w:noProof/>
                    <w:szCs w:val="24"/>
                    <w:rtl/>
                  </w:rPr>
                  <w:fldChar w:fldCharType="end"/>
                </w:r>
              </w:p>
            </w:txbxContent>
          </v:textbox>
        </v:rect>
      </w:pict>
    </w:r>
    <w:r>
      <w:rPr>
        <w:noProof/>
        <w:sz w:val="22"/>
        <w:szCs w:val="24"/>
      </w:rPr>
      <w:pict>
        <v:line id="4098" o:spid="_x0000_s2056" style="position:absolute;left:0;text-align:left;flip:x;z-index:251659264;visibility:visible;mso-wrap-distance-left:0;mso-wrap-distance-right:0;mso-width-relative:margin;mso-height-relative:margin" from="-34pt,5.85pt" to="21.5pt,5.85pt" strokeweight="3pt">
          <v:stroke linestyle="thinThin"/>
        </v:line>
      </w:pict>
    </w:r>
    <w:r w:rsidR="000C114A">
      <w:rPr>
        <w:rFonts w:hint="cs"/>
        <w:sz w:val="22"/>
        <w:szCs w:val="24"/>
        <w:rtl/>
      </w:rPr>
      <w:t xml:space="preserve">                </w:t>
    </w:r>
    <w:r w:rsidR="003C7C17" w:rsidRPr="00114A90">
      <w:rPr>
        <w:rFonts w:hint="cs"/>
        <w:sz w:val="22"/>
        <w:szCs w:val="24"/>
        <w:rtl/>
      </w:rPr>
      <w:t>شیوه‌نامه حمایت از تدوین گزارش تحقیقات بازار</w:t>
    </w:r>
    <w:r w:rsidR="000C114A">
      <w:rPr>
        <w:rFonts w:hint="cs"/>
        <w:sz w:val="22"/>
        <w:szCs w:val="24"/>
        <w:rtl/>
      </w:rPr>
      <w:t xml:space="preserve"> شرکت‌های دانش‌بنیان، خلاق و فناور مستقر در پارک</w:t>
    </w:r>
  </w:p>
  <w:p w:rsidR="00715CDA" w:rsidRDefault="009B785A">
    <w:pPr>
      <w:pStyle w:val="Header"/>
    </w:pPr>
    <w:r w:rsidRPr="008D6590">
      <w:rPr>
        <w:noProof/>
        <w:rtl/>
      </w:rPr>
      <w:drawing>
        <wp:anchor distT="0" distB="0" distL="114300" distR="114300" simplePos="0" relativeHeight="251658752" behindDoc="1" locked="0" layoutInCell="1" allowOverlap="1" wp14:anchorId="5B642E31" wp14:editId="2D4CE937">
          <wp:simplePos x="0" y="0"/>
          <wp:positionH relativeFrom="column">
            <wp:posOffset>-666750</wp:posOffset>
          </wp:positionH>
          <wp:positionV relativeFrom="paragraph">
            <wp:posOffset>3374390</wp:posOffset>
          </wp:positionV>
          <wp:extent cx="495300" cy="454510"/>
          <wp:effectExtent l="0" t="0" r="0" b="0"/>
          <wp:wrapNone/>
          <wp:docPr id="1" name="Picture 1" descr="C:\Users\h.shokri\Dropbox\خدمات توانمندسازی\مرک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shokri\Dropbox\خدمات توانمندسازی\مرکز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C5D88BDE"/>
    <w:lvl w:ilvl="0" w:tplc="138AF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E8468798"/>
    <w:lvl w:ilvl="0">
      <w:start w:val="1"/>
      <w:numFmt w:val="decimal"/>
      <w:pStyle w:val="Heading1"/>
      <w:suff w:val="space"/>
      <w:lvlText w:val="%1-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666" w:hanging="576"/>
      </w:pPr>
      <w:rPr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16C462F"/>
    <w:multiLevelType w:val="multilevel"/>
    <w:tmpl w:val="BEA40DB8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  <w:u w:val="single"/>
      </w:rPr>
    </w:lvl>
  </w:abstractNum>
  <w:abstractNum w:abstractNumId="3">
    <w:nsid w:val="6D675C7B"/>
    <w:multiLevelType w:val="hybridMultilevel"/>
    <w:tmpl w:val="44447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D4AA5"/>
    <w:multiLevelType w:val="hybridMultilevel"/>
    <w:tmpl w:val="2C00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Windows Live" w15:userId="79dc3913eb7ac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CDA"/>
    <w:rsid w:val="000A5FF1"/>
    <w:rsid w:val="000B4070"/>
    <w:rsid w:val="000C114A"/>
    <w:rsid w:val="000F0557"/>
    <w:rsid w:val="0011202E"/>
    <w:rsid w:val="00114A90"/>
    <w:rsid w:val="00172F71"/>
    <w:rsid w:val="00176F74"/>
    <w:rsid w:val="001F05A9"/>
    <w:rsid w:val="0027625D"/>
    <w:rsid w:val="002A523E"/>
    <w:rsid w:val="002C7D96"/>
    <w:rsid w:val="002E1D2B"/>
    <w:rsid w:val="003C43F4"/>
    <w:rsid w:val="003C7C17"/>
    <w:rsid w:val="00412CD7"/>
    <w:rsid w:val="0050548F"/>
    <w:rsid w:val="005233D9"/>
    <w:rsid w:val="005371E7"/>
    <w:rsid w:val="00696C6E"/>
    <w:rsid w:val="006C0CE3"/>
    <w:rsid w:val="00715CDA"/>
    <w:rsid w:val="00721379"/>
    <w:rsid w:val="00765F76"/>
    <w:rsid w:val="007853BE"/>
    <w:rsid w:val="007B071B"/>
    <w:rsid w:val="00843F2B"/>
    <w:rsid w:val="00907E46"/>
    <w:rsid w:val="00957982"/>
    <w:rsid w:val="009B2A5B"/>
    <w:rsid w:val="009B4408"/>
    <w:rsid w:val="009B785A"/>
    <w:rsid w:val="009D3FA6"/>
    <w:rsid w:val="00A94BC6"/>
    <w:rsid w:val="00AA70FC"/>
    <w:rsid w:val="00B217BF"/>
    <w:rsid w:val="00B45522"/>
    <w:rsid w:val="00C106D5"/>
    <w:rsid w:val="00CB386C"/>
    <w:rsid w:val="00CB66DA"/>
    <w:rsid w:val="00D052E1"/>
    <w:rsid w:val="00D35ECC"/>
    <w:rsid w:val="00D93351"/>
    <w:rsid w:val="00DF7ED0"/>
    <w:rsid w:val="00E1766D"/>
    <w:rsid w:val="00F97DEB"/>
    <w:rsid w:val="00F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DA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CDA"/>
    <w:pPr>
      <w:widowControl w:val="0"/>
      <w:numPr>
        <w:numId w:val="1"/>
      </w:numPr>
      <w:spacing w:before="400" w:after="400"/>
      <w:outlineLvl w:val="0"/>
    </w:pPr>
    <w:rPr>
      <w:b/>
      <w:bCs/>
      <w:kern w:val="28"/>
      <w:sz w:val="36"/>
      <w:szCs w:val="44"/>
      <w:lang w:bidi="fa-IR"/>
    </w:rPr>
  </w:style>
  <w:style w:type="paragraph" w:styleId="Heading2">
    <w:name w:val="heading 2"/>
    <w:basedOn w:val="Normal"/>
    <w:next w:val="14"/>
    <w:link w:val="Heading2Char"/>
    <w:uiPriority w:val="9"/>
    <w:qFormat/>
    <w:rsid w:val="00715CDA"/>
    <w:pPr>
      <w:widowControl w:val="0"/>
      <w:numPr>
        <w:ilvl w:val="1"/>
        <w:numId w:val="1"/>
      </w:numPr>
      <w:spacing w:before="180" w:after="60"/>
      <w:outlineLvl w:val="1"/>
    </w:pPr>
    <w:rPr>
      <w:b/>
      <w:bCs/>
      <w:color w:val="000000"/>
      <w:sz w:val="28"/>
      <w:lang w:bidi="fa-IR"/>
    </w:rPr>
  </w:style>
  <w:style w:type="paragraph" w:styleId="Heading3">
    <w:name w:val="heading 3"/>
    <w:basedOn w:val="Normal"/>
    <w:next w:val="14"/>
    <w:link w:val="Heading3Char"/>
    <w:uiPriority w:val="9"/>
    <w:qFormat/>
    <w:rsid w:val="00715CDA"/>
    <w:pPr>
      <w:widowControl w:val="0"/>
      <w:numPr>
        <w:ilvl w:val="2"/>
        <w:numId w:val="1"/>
      </w:numPr>
      <w:tabs>
        <w:tab w:val="left" w:pos="794"/>
      </w:tabs>
      <w:spacing w:before="180" w:after="60"/>
      <w:outlineLvl w:val="2"/>
    </w:pPr>
    <w:rPr>
      <w:b/>
      <w:bCs/>
    </w:rPr>
  </w:style>
  <w:style w:type="paragraph" w:styleId="Heading4">
    <w:name w:val="heading 4"/>
    <w:basedOn w:val="Normal"/>
    <w:next w:val="14"/>
    <w:link w:val="Heading4Char"/>
    <w:uiPriority w:val="9"/>
    <w:qFormat/>
    <w:rsid w:val="00715CDA"/>
    <w:pPr>
      <w:widowControl w:val="0"/>
      <w:numPr>
        <w:ilvl w:val="3"/>
        <w:numId w:val="1"/>
      </w:numPr>
      <w:tabs>
        <w:tab w:val="left" w:pos="1134"/>
      </w:tabs>
      <w:spacing w:before="180" w:after="60"/>
      <w:outlineLvl w:val="3"/>
    </w:pPr>
    <w:rPr>
      <w:b/>
      <w:bCs/>
    </w:rPr>
  </w:style>
  <w:style w:type="paragraph" w:styleId="Heading5">
    <w:name w:val="heading 5"/>
    <w:basedOn w:val="Normal"/>
    <w:next w:val="14"/>
    <w:link w:val="Heading5Char"/>
    <w:uiPriority w:val="9"/>
    <w:qFormat/>
    <w:rsid w:val="00715CDA"/>
    <w:pPr>
      <w:keepNext/>
      <w:numPr>
        <w:ilvl w:val="4"/>
        <w:numId w:val="1"/>
      </w:numPr>
      <w:tabs>
        <w:tab w:val="left" w:pos="1219"/>
      </w:tabs>
      <w:spacing w:before="180" w:after="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5CDA"/>
    <w:pPr>
      <w:numPr>
        <w:ilvl w:val="6"/>
        <w:numId w:val="1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5CDA"/>
    <w:pPr>
      <w:numPr>
        <w:ilvl w:val="7"/>
        <w:numId w:val="1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5CDA"/>
    <w:pPr>
      <w:numPr>
        <w:ilvl w:val="8"/>
        <w:numId w:val="1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CDA"/>
    <w:rPr>
      <w:rFonts w:ascii="Times New Roman" w:eastAsia="Times New Roman" w:hAnsi="Times New Roman" w:cs="B Nazanin"/>
      <w:b/>
      <w:bCs/>
      <w:kern w:val="28"/>
      <w:sz w:val="36"/>
      <w:szCs w:val="4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15CDA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15CDA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15CDA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15CDA"/>
    <w:rPr>
      <w:rFonts w:ascii="Times New Roman" w:eastAsia="Times New Roman" w:hAnsi="Times New Roman" w:cs="B 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715CDA"/>
    <w:rPr>
      <w:rFonts w:ascii="Arial" w:eastAsia="Times New Roman" w:hAnsi="Times New Roman" w:cs="Traditional Arabi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15CDA"/>
    <w:rPr>
      <w:rFonts w:ascii="Arial" w:eastAsia="Times New Roman" w:hAnsi="Times New Roman" w:cs="Traditional Arabic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5CDA"/>
    <w:rPr>
      <w:rFonts w:ascii="Arial" w:eastAsia="Times New Roman" w:hAnsi="Times New Roman" w:cs="B Nazanin"/>
      <w:b/>
      <w:bCs/>
      <w:i/>
      <w:iCs/>
      <w:sz w:val="18"/>
      <w:szCs w:val="21"/>
    </w:rPr>
  </w:style>
  <w:style w:type="paragraph" w:styleId="NoSpacing">
    <w:name w:val="No Spacing"/>
    <w:aliases w:val="متن انگلیسی"/>
    <w:link w:val="NoSpacingChar"/>
    <w:uiPriority w:val="1"/>
    <w:qFormat/>
    <w:rsid w:val="00715CDA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aliases w:val="متن انگلیسی Char"/>
    <w:link w:val="NoSpacing"/>
    <w:uiPriority w:val="1"/>
    <w:rsid w:val="00715CDA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715CD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متن اصلی 14"/>
    <w:basedOn w:val="Normal"/>
    <w:link w:val="14Char"/>
    <w:qFormat/>
    <w:rsid w:val="00715CDA"/>
    <w:pPr>
      <w:spacing w:after="120" w:line="360" w:lineRule="auto"/>
      <w:ind w:firstLine="397"/>
      <w:jc w:val="lowKashida"/>
    </w:pPr>
  </w:style>
  <w:style w:type="character" w:customStyle="1" w:styleId="14Char">
    <w:name w:val="متن اصلی 14 Char"/>
    <w:link w:val="14"/>
    <w:rsid w:val="00715CDA"/>
    <w:rPr>
      <w:rFonts w:ascii="Times New Roman" w:eastAsia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rsid w:val="00715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CDA"/>
    <w:rPr>
      <w:rFonts w:ascii="Segoe UI" w:eastAsia="Times New Roman" w:hAnsi="Segoe UI" w:cs="Segoe UI"/>
      <w:sz w:val="18"/>
      <w:szCs w:val="18"/>
    </w:rPr>
  </w:style>
  <w:style w:type="character" w:customStyle="1" w:styleId="a">
    <w:name w:val="جلد نویسه"/>
    <w:basedOn w:val="DefaultParagraphFont"/>
    <w:link w:val="a0"/>
    <w:rsid w:val="00715CDA"/>
    <w:rPr>
      <w:rFonts w:ascii="Calibri" w:hAnsi="Calibri" w:cs="IranNastaliq"/>
      <w:sz w:val="44"/>
      <w:szCs w:val="44"/>
      <w:lang w:bidi="fa-IR"/>
    </w:rPr>
  </w:style>
  <w:style w:type="paragraph" w:customStyle="1" w:styleId="a0">
    <w:name w:val="جلد"/>
    <w:basedOn w:val="Normal"/>
    <w:link w:val="a"/>
    <w:qFormat/>
    <w:rsid w:val="00715CDA"/>
    <w:pPr>
      <w:tabs>
        <w:tab w:val="center" w:pos="4513"/>
      </w:tabs>
      <w:spacing w:line="240" w:lineRule="atLeast"/>
      <w:ind w:firstLine="379"/>
      <w:jc w:val="center"/>
    </w:pPr>
    <w:rPr>
      <w:rFonts w:ascii="Calibri" w:eastAsia="Calibri" w:hAnsi="Calibri" w:cs="IranNastaliq"/>
      <w:sz w:val="44"/>
      <w:szCs w:val="44"/>
      <w:lang w:bidi="fa-IR"/>
    </w:rPr>
  </w:style>
  <w:style w:type="paragraph" w:styleId="Header">
    <w:name w:val="header"/>
    <w:basedOn w:val="Normal"/>
    <w:link w:val="HeaderChar"/>
    <w:uiPriority w:val="99"/>
    <w:rsid w:val="00715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CDA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rsid w:val="00715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CDA"/>
    <w:rPr>
      <w:rFonts w:ascii="Times New Roman" w:eastAsia="Times New Roman" w:hAnsi="Times New Roman" w:cs="B Nazanin"/>
      <w:sz w:val="24"/>
      <w:szCs w:val="28"/>
    </w:rPr>
  </w:style>
  <w:style w:type="paragraph" w:styleId="ListParagraph">
    <w:name w:val="List Paragraph"/>
    <w:basedOn w:val="Normal"/>
    <w:uiPriority w:val="34"/>
    <w:qFormat/>
    <w:rsid w:val="00715CDA"/>
    <w:pPr>
      <w:ind w:left="720"/>
      <w:contextualSpacing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55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522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55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daneshbonyan</dc:creator>
  <cp:keywords>hesabdari</cp:keywords>
  <cp:lastModifiedBy>noor</cp:lastModifiedBy>
  <cp:revision>50</cp:revision>
  <cp:lastPrinted>2019-02-24T13:40:00Z</cp:lastPrinted>
  <dcterms:created xsi:type="dcterms:W3CDTF">2019-02-20T07:38:00Z</dcterms:created>
  <dcterms:modified xsi:type="dcterms:W3CDTF">2022-08-17T08:19:00Z</dcterms:modified>
</cp:coreProperties>
</file>